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C0C4" w14:textId="77777777" w:rsidR="00247DB3" w:rsidRDefault="00284BA9" w:rsidP="007D1E92">
      <w:pPr>
        <w:widowControl/>
        <w:jc w:val="center"/>
        <w:rPr>
          <w:b/>
        </w:rPr>
      </w:pPr>
      <w:r>
        <w:rPr>
          <w:b/>
        </w:rPr>
        <w:t>FIRST</w:t>
      </w:r>
      <w:r w:rsidR="000B282C" w:rsidRPr="003D6C17">
        <w:rPr>
          <w:b/>
        </w:rPr>
        <w:t xml:space="preserve"> AMENDMENT TO</w:t>
      </w:r>
      <w:r w:rsidR="00247DB3">
        <w:rPr>
          <w:b/>
        </w:rPr>
        <w:t xml:space="preserve"> </w:t>
      </w:r>
    </w:p>
    <w:p w14:paraId="5E873C45" w14:textId="25422D9E" w:rsidR="00705375" w:rsidRPr="003D6C17" w:rsidRDefault="00247DB3" w:rsidP="007D1E92">
      <w:pPr>
        <w:widowControl/>
        <w:jc w:val="center"/>
        <w:rPr>
          <w:b/>
        </w:rPr>
      </w:pPr>
      <w:r>
        <w:rPr>
          <w:b/>
        </w:rPr>
        <w:t>AMENDED AND RESTATED</w:t>
      </w:r>
      <w:r w:rsidR="000B282C" w:rsidRPr="003D6C17">
        <w:rPr>
          <w:b/>
        </w:rPr>
        <w:t xml:space="preserve"> </w:t>
      </w:r>
      <w:r w:rsidR="007D1E92" w:rsidRPr="007D1E92">
        <w:rPr>
          <w:b/>
        </w:rPr>
        <w:t>URBAN RENEWAL AGREEMENT FOR DEVELOPMENT</w:t>
      </w:r>
      <w:r w:rsidR="007D1E92">
        <w:rPr>
          <w:b/>
        </w:rPr>
        <w:t xml:space="preserve"> </w:t>
      </w:r>
      <w:r w:rsidR="007D1E92" w:rsidRPr="007D1E92">
        <w:rPr>
          <w:b/>
        </w:rPr>
        <w:t xml:space="preserve">OF </w:t>
      </w:r>
      <w:r w:rsidR="00EC02BA">
        <w:rPr>
          <w:b/>
        </w:rPr>
        <w:t xml:space="preserve">THE </w:t>
      </w:r>
      <w:r>
        <w:rPr>
          <w:b/>
        </w:rPr>
        <w:t>TRUE NORTH COMMONS</w:t>
      </w:r>
      <w:r w:rsidR="00EC02BA">
        <w:rPr>
          <w:b/>
        </w:rPr>
        <w:t xml:space="preserve"> URBAN RENEWAL AREA</w:t>
      </w:r>
    </w:p>
    <w:p w14:paraId="05200F31" w14:textId="77777777" w:rsidR="003D6C17" w:rsidRPr="003D6C17" w:rsidRDefault="003D6C17" w:rsidP="007945B9">
      <w:pPr>
        <w:widowControl/>
      </w:pPr>
    </w:p>
    <w:p w14:paraId="69996564" w14:textId="77777777" w:rsidR="005F34DA" w:rsidRDefault="00746550" w:rsidP="007D1E92">
      <w:pPr>
        <w:widowControl/>
        <w:spacing w:after="240"/>
        <w:ind w:firstLine="720"/>
        <w:jc w:val="both"/>
      </w:pPr>
      <w:r w:rsidRPr="00746550">
        <w:t xml:space="preserve">THIS </w:t>
      </w:r>
      <w:r>
        <w:t xml:space="preserve">FIRST AMENDMENT TO </w:t>
      </w:r>
      <w:r w:rsidR="00247DB3">
        <w:t xml:space="preserve">AMENDED AND RESTATED </w:t>
      </w:r>
      <w:r w:rsidR="007D1E92">
        <w:t xml:space="preserve">URBAN RENEWAL AGREEMENT FOR DEVELOPMENT OF </w:t>
      </w:r>
      <w:r w:rsidR="00EC02BA" w:rsidRPr="00EC02BA">
        <w:t xml:space="preserve">THE </w:t>
      </w:r>
      <w:r w:rsidR="00247DB3">
        <w:t>TRUE NORTH COMMONS</w:t>
      </w:r>
      <w:r w:rsidR="00EC02BA" w:rsidRPr="00EC02BA">
        <w:t xml:space="preserve"> URBAN RENEWAL AREA </w:t>
      </w:r>
      <w:r w:rsidRPr="00746550">
        <w:t>(“</w:t>
      </w:r>
      <w:r w:rsidRPr="00746550">
        <w:rPr>
          <w:u w:val="single"/>
        </w:rPr>
        <w:t>Amendment</w:t>
      </w:r>
      <w:r w:rsidRPr="00746550">
        <w:t xml:space="preserve">”) is made effective as of </w:t>
      </w:r>
      <w:r w:rsidR="00247DB3">
        <w:t>January __, 2022</w:t>
      </w:r>
      <w:r w:rsidRPr="00746550">
        <w:t xml:space="preserve"> by and </w:t>
      </w:r>
      <w:r w:rsidR="00BB776D">
        <w:t>between</w:t>
      </w:r>
      <w:r w:rsidR="007D1E92" w:rsidRPr="007D1E92">
        <w:t xml:space="preserve"> COLORADO SPRINGS URBAN RENEWAL AUTHORITY, a body corporate and politic of the State of Colorado </w:t>
      </w:r>
      <w:r w:rsidR="005F34DA" w:rsidRPr="005F34DA">
        <w:t>(the “</w:t>
      </w:r>
      <w:r w:rsidR="005F34DA" w:rsidRPr="005F34DA">
        <w:rPr>
          <w:u w:val="single"/>
        </w:rPr>
        <w:t>Authority</w:t>
      </w:r>
      <w:r w:rsidR="005F34DA" w:rsidRPr="005F34DA">
        <w:t>”), BLUE &amp; SILVER DEVELOPMENT PARTNERS, LLC, a Colorado limited liability company (the “</w:t>
      </w:r>
      <w:r w:rsidR="005F34DA" w:rsidRPr="005F34DA">
        <w:rPr>
          <w:u w:val="single"/>
        </w:rPr>
        <w:t>Developer</w:t>
      </w:r>
      <w:r w:rsidR="005F34DA" w:rsidRPr="005F34DA">
        <w:t>”), and the USAFA VISITOR’S CENTER BUSINESS IMPROVEMENT DISTRICT, a quasi-municipal corporation and political subdivision of the State of Colorado (the “</w:t>
      </w:r>
      <w:r w:rsidR="005F34DA" w:rsidRPr="005F34DA">
        <w:rPr>
          <w:u w:val="single"/>
        </w:rPr>
        <w:t>District</w:t>
      </w:r>
      <w:r w:rsidR="005F34DA" w:rsidRPr="005F34DA">
        <w:t>”) (the Authority, the Developer and the District are also referred to herein collectively as the “</w:t>
      </w:r>
      <w:r w:rsidR="005F34DA" w:rsidRPr="00A543AB">
        <w:rPr>
          <w:u w:val="single"/>
        </w:rPr>
        <w:t>Parties</w:t>
      </w:r>
      <w:r w:rsidR="005F34DA" w:rsidRPr="005F34DA">
        <w:t>” or individually as a “</w:t>
      </w:r>
      <w:r w:rsidR="005F34DA" w:rsidRPr="00A543AB">
        <w:rPr>
          <w:u w:val="single"/>
        </w:rPr>
        <w:t>Party</w:t>
      </w:r>
      <w:r w:rsidR="005F34DA" w:rsidRPr="005F34DA">
        <w:t>”)</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7F2CE9EC" w14:textId="77777777" w:rsidR="00642723" w:rsidRDefault="000B282C" w:rsidP="007945B9">
      <w:pPr>
        <w:widowControl/>
        <w:spacing w:after="240"/>
        <w:ind w:firstLine="720"/>
        <w:jc w:val="both"/>
      </w:pPr>
      <w:r w:rsidRPr="003D6C17">
        <w:t xml:space="preserve">WHEREAS, </w:t>
      </w:r>
      <w:r w:rsidR="005F34DA">
        <w:t>the Authority</w:t>
      </w:r>
      <w:r w:rsidR="00A543AB">
        <w:t>, the District</w:t>
      </w:r>
      <w:r w:rsidR="00EC02BA">
        <w:t xml:space="preserve"> and</w:t>
      </w:r>
      <w:r w:rsidR="007D1E92">
        <w:t xml:space="preserve"> </w:t>
      </w:r>
      <w:r w:rsidR="00A543AB">
        <w:t xml:space="preserve">the </w:t>
      </w:r>
      <w:r w:rsidR="007D1E92">
        <w:t xml:space="preserve">Developer </w:t>
      </w:r>
      <w:r w:rsidRPr="003D6C17">
        <w:t xml:space="preserve">are parties to that certain </w:t>
      </w:r>
      <w:r w:rsidR="00A543AB">
        <w:t xml:space="preserve">Amended and Restated </w:t>
      </w:r>
      <w:r w:rsidR="007D1E92">
        <w:t xml:space="preserve">Urban Renewal Agreement for </w:t>
      </w:r>
      <w:r w:rsidR="00EC02BA">
        <w:t>De</w:t>
      </w:r>
      <w:r w:rsidR="007D1E92">
        <w:t xml:space="preserve">velopment of </w:t>
      </w:r>
      <w:r w:rsidR="00EC02BA">
        <w:t>t</w:t>
      </w:r>
      <w:r w:rsidR="00EC02BA" w:rsidRPr="00EC02BA">
        <w:t xml:space="preserve">he </w:t>
      </w:r>
      <w:r w:rsidR="00A543AB">
        <w:t>True North Commons</w:t>
      </w:r>
      <w:r w:rsidR="00EC02BA" w:rsidRPr="00EC02BA">
        <w:t xml:space="preserve"> Urban Renewal Area </w:t>
      </w:r>
      <w:r w:rsidR="004700F7">
        <w:t xml:space="preserve">dated </w:t>
      </w:r>
      <w:r w:rsidR="00230EBD">
        <w:t xml:space="preserve">as </w:t>
      </w:r>
      <w:r w:rsidR="008278B8">
        <w:t xml:space="preserve">of </w:t>
      </w:r>
      <w:r w:rsidR="00A543AB">
        <w:t>August 1, 2021</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proofErr w:type="gramStart"/>
      <w:r w:rsidR="0027374B">
        <w:t>)</w:t>
      </w:r>
      <w:r w:rsidRPr="003D6C17">
        <w:t>;</w:t>
      </w:r>
      <w:proofErr w:type="gramEnd"/>
      <w:r w:rsidRPr="003D6C17">
        <w:t xml:space="preserve"> </w:t>
      </w:r>
    </w:p>
    <w:p w14:paraId="5063D962" w14:textId="2E49D655" w:rsidR="0027374B" w:rsidRDefault="00642723" w:rsidP="007945B9">
      <w:pPr>
        <w:widowControl/>
        <w:spacing w:after="240"/>
        <w:ind w:firstLine="720"/>
        <w:jc w:val="both"/>
      </w:pPr>
      <w:proofErr w:type="gramStart"/>
      <w:r>
        <w:t>WHEREAS,</w:t>
      </w:r>
      <w:proofErr w:type="gramEnd"/>
      <w:r>
        <w:t xml:space="preserve"> </w:t>
      </w:r>
      <w:r w:rsidR="008E50EE">
        <w:t>(</w:t>
      </w:r>
      <w:proofErr w:type="spellStart"/>
      <w:r w:rsidR="008E50EE">
        <w:t>i</w:t>
      </w:r>
      <w:proofErr w:type="spellEnd"/>
      <w:r w:rsidR="008E50EE">
        <w:t xml:space="preserve">) </w:t>
      </w:r>
      <w:r>
        <w:t xml:space="preserve">the Commission has extended the deadline to issue the District Bonds to February 28, 2022 </w:t>
      </w:r>
      <w:r w:rsidR="008E50EE">
        <w:t xml:space="preserve">and the District Bonds will be renumbered as Series 2022, </w:t>
      </w:r>
      <w:r>
        <w:t xml:space="preserve">and </w:t>
      </w:r>
      <w:r w:rsidR="008E50EE">
        <w:t xml:space="preserve">(ii) </w:t>
      </w:r>
      <w:r>
        <w:t xml:space="preserve">the </w:t>
      </w:r>
      <w:r w:rsidR="00794770">
        <w:t>USAFA</w:t>
      </w:r>
      <w:r>
        <w:t xml:space="preserve"> has extended the deadline for completion of the Visitor’s Center to February 16, 2024</w:t>
      </w:r>
      <w:r w:rsidR="00EA31D8">
        <w:t xml:space="preserve">; </w:t>
      </w:r>
      <w:r w:rsidR="008278B8">
        <w:t>and</w:t>
      </w:r>
    </w:p>
    <w:p w14:paraId="68DB3CF5" w14:textId="0712F66C" w:rsidR="00232295" w:rsidRDefault="007D50C1" w:rsidP="007945B9">
      <w:pPr>
        <w:widowControl/>
        <w:spacing w:after="240"/>
        <w:ind w:firstLine="720"/>
        <w:jc w:val="both"/>
      </w:pPr>
      <w:r>
        <w:t xml:space="preserve">WHEREAS, </w:t>
      </w:r>
      <w:r w:rsidR="00794770" w:rsidRPr="00794770">
        <w:t>pursuant to the foregoing-described extensions</w:t>
      </w:r>
      <w:r w:rsidR="00794770">
        <w:t xml:space="preserve">, </w:t>
      </w:r>
      <w:r w:rsidR="00856455">
        <w:t xml:space="preserve">the </w:t>
      </w:r>
      <w:r w:rsidR="00E82BFB">
        <w:t xml:space="preserve">Parties desire to </w:t>
      </w:r>
      <w:r w:rsidR="00EA31D8">
        <w:t>make conforming changes</w:t>
      </w:r>
      <w:r w:rsidR="00794770">
        <w:t xml:space="preserve"> to the Agreement</w:t>
      </w:r>
      <w:r w:rsidR="00EA31D8">
        <w:t xml:space="preserve">, including, without limitation, </w:t>
      </w:r>
      <w:r w:rsidR="00E82BFB">
        <w:t>substitut</w:t>
      </w:r>
      <w:r w:rsidR="00EA31D8">
        <w:t>ing</w:t>
      </w:r>
      <w:r w:rsidR="00E82BFB">
        <w:t xml:space="preserve"> a new </w:t>
      </w:r>
      <w:r w:rsidR="0027374B">
        <w:t>Schedule of Performance</w:t>
      </w:r>
      <w:r w:rsidR="001F4164">
        <w:t xml:space="preserve"> to the Agreement</w:t>
      </w:r>
      <w:r w:rsidR="00EA31D8">
        <w:t>,</w:t>
      </w:r>
      <w:r w:rsidR="001F4164">
        <w:t xml:space="preserve"> on the terms and conditions set forth </w:t>
      </w:r>
      <w:proofErr w:type="gramStart"/>
      <w:r w:rsidR="001F4164">
        <w:t>herein</w:t>
      </w:r>
      <w:r>
        <w:t>;</w:t>
      </w:r>
      <w:proofErr w:type="gramEnd"/>
      <w:r w:rsidRPr="007D50C1">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3AD43403" w14:textId="67D8D2D1" w:rsidR="005F34DA" w:rsidRDefault="00A543AB" w:rsidP="005F34DA">
      <w:pPr>
        <w:pStyle w:val="ListParagraph"/>
        <w:widowControl/>
        <w:numPr>
          <w:ilvl w:val="0"/>
          <w:numId w:val="4"/>
        </w:numPr>
        <w:spacing w:after="240"/>
        <w:ind w:left="0" w:firstLine="720"/>
        <w:contextualSpacing w:val="0"/>
        <w:jc w:val="both"/>
      </w:pPr>
      <w:r w:rsidRPr="00A543AB">
        <w:rPr>
          <w:u w:val="single"/>
        </w:rPr>
        <w:t>Amendment to Section 7.2 of the Agreement</w:t>
      </w:r>
      <w:r>
        <w:t xml:space="preserve">.  </w:t>
      </w:r>
      <w:r w:rsidR="008867F8">
        <w:t xml:space="preserve">Section 7.2 of the Agreement is hereby amended by </w:t>
      </w:r>
      <w:r w:rsidR="008E50EE">
        <w:t>changing all</w:t>
      </w:r>
      <w:r w:rsidR="008867F8">
        <w:t xml:space="preserve"> references </w:t>
      </w:r>
      <w:r w:rsidR="008E50EE">
        <w:t>to District Bonds as follows:</w:t>
      </w:r>
      <w:r w:rsidR="008867F8">
        <w:t xml:space="preserve"> (</w:t>
      </w:r>
      <w:proofErr w:type="spellStart"/>
      <w:r w:rsidR="008867F8">
        <w:t>i</w:t>
      </w:r>
      <w:proofErr w:type="spellEnd"/>
      <w:r w:rsidR="008867F8">
        <w:t xml:space="preserve">) “Series 2021A” </w:t>
      </w:r>
      <w:r w:rsidR="008E50EE">
        <w:t>shall be</w:t>
      </w:r>
      <w:r w:rsidR="008867F8">
        <w:t xml:space="preserve"> “Series 2022A,” (ii) “Series 2021B” </w:t>
      </w:r>
      <w:r w:rsidR="008E50EE">
        <w:t>shall be</w:t>
      </w:r>
      <w:r w:rsidR="008867F8">
        <w:t xml:space="preserve"> “Series 2022B,” and (iii) “Series 2021C” </w:t>
      </w:r>
      <w:r w:rsidR="008E50EE">
        <w:t>shall be</w:t>
      </w:r>
      <w:r w:rsidR="008867F8">
        <w:t xml:space="preserve"> “Series 2022C.”</w:t>
      </w:r>
    </w:p>
    <w:p w14:paraId="61BF9900" w14:textId="47308835" w:rsidR="00856455" w:rsidRDefault="005775C7" w:rsidP="005F34DA">
      <w:pPr>
        <w:pStyle w:val="ListParagraph"/>
        <w:widowControl/>
        <w:numPr>
          <w:ilvl w:val="0"/>
          <w:numId w:val="4"/>
        </w:numPr>
        <w:spacing w:after="240"/>
        <w:ind w:left="0" w:firstLine="720"/>
        <w:contextualSpacing w:val="0"/>
        <w:jc w:val="both"/>
      </w:pPr>
      <w:r w:rsidRPr="005F34DA">
        <w:rPr>
          <w:u w:val="single"/>
        </w:rPr>
        <w:t xml:space="preserve">Amendment to </w:t>
      </w:r>
      <w:r w:rsidR="00EC02BA" w:rsidRPr="005F34DA">
        <w:rPr>
          <w:u w:val="single"/>
        </w:rPr>
        <w:t>Schedule of Performance</w:t>
      </w:r>
      <w:r w:rsidR="00856455">
        <w:t xml:space="preserve">.  </w:t>
      </w:r>
      <w:r w:rsidR="00EC02BA" w:rsidRPr="0027374B">
        <w:t xml:space="preserve">The </w:t>
      </w:r>
      <w:r w:rsidR="001F4164">
        <w:t xml:space="preserve">Agreement is hereby amended by deleting the </w:t>
      </w:r>
      <w:r w:rsidR="0027374B">
        <w:t>Schedule of Performance</w:t>
      </w:r>
      <w:r w:rsidR="001F4164">
        <w:t xml:space="preserve"> </w:t>
      </w:r>
      <w:r w:rsidR="008278B8">
        <w:t xml:space="preserve">attached </w:t>
      </w:r>
      <w:r w:rsidR="008E50EE">
        <w:t>thereto</w:t>
      </w:r>
      <w:r w:rsidR="008278B8">
        <w:t xml:space="preserve"> as </w:t>
      </w:r>
      <w:r w:rsidR="008278B8" w:rsidRPr="005F34DA">
        <w:rPr>
          <w:u w:val="single"/>
        </w:rPr>
        <w:t xml:space="preserve">Exhibit </w:t>
      </w:r>
      <w:r w:rsidR="00A543AB">
        <w:rPr>
          <w:u w:val="single"/>
        </w:rPr>
        <w:t>C</w:t>
      </w:r>
      <w:r w:rsidR="001F4164">
        <w:t xml:space="preserve"> and substituting therefor the </w:t>
      </w:r>
      <w:r w:rsidR="0027374B">
        <w:t>Schedule of Performance</w:t>
      </w:r>
      <w:r w:rsidR="001F4164">
        <w:t xml:space="preserve"> attached hereto as</w:t>
      </w:r>
      <w:r w:rsidR="00794770">
        <w:t xml:space="preserve"> a new</w:t>
      </w:r>
      <w:r w:rsidR="001F4164">
        <w:t xml:space="preserve"> </w:t>
      </w:r>
      <w:r w:rsidR="0027374B" w:rsidRPr="005F34DA">
        <w:rPr>
          <w:u w:val="single"/>
        </w:rPr>
        <w:t xml:space="preserve">Exhibit </w:t>
      </w:r>
      <w:r w:rsidR="00794770">
        <w:rPr>
          <w:u w:val="single"/>
        </w:rPr>
        <w:t>C</w:t>
      </w:r>
      <w:r w:rsidR="00794770" w:rsidRPr="008E50EE">
        <w:t xml:space="preserve"> </w:t>
      </w:r>
      <w:r w:rsidR="00794770">
        <w:t>to the Agreement</w:t>
      </w:r>
      <w:r w:rsidR="00856455">
        <w:t xml:space="preserve">. </w:t>
      </w:r>
    </w:p>
    <w:p w14:paraId="0E5D75F6" w14:textId="4C88D4C2" w:rsidR="00E6758C" w:rsidRPr="003D6C17" w:rsidRDefault="000B282C" w:rsidP="005F34DA">
      <w:pPr>
        <w:pStyle w:val="ListParagraph"/>
        <w:widowControl/>
        <w:numPr>
          <w:ilvl w:val="0"/>
          <w:numId w:val="4"/>
        </w:numPr>
        <w:spacing w:after="240"/>
        <w:ind w:left="0" w:firstLine="720"/>
        <w:contextualSpacing w:val="0"/>
        <w:jc w:val="both"/>
      </w:pPr>
      <w:r w:rsidRPr="005F34DA">
        <w:rPr>
          <w:u w:val="single"/>
        </w:rPr>
        <w:t>Miscellaneous Provisions</w:t>
      </w:r>
      <w:r w:rsidRPr="003D6C17">
        <w:t>.</w:t>
      </w:r>
    </w:p>
    <w:p w14:paraId="3283137E" w14:textId="77777777"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w:t>
      </w:r>
      <w:r w:rsidR="000B282C" w:rsidRPr="003D6C17">
        <w:lastRenderedPageBreak/>
        <w:t xml:space="preserve">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14:paraId="698F9A4B"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451F2110" w14:textId="542EE174"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w:t>
      </w:r>
      <w:proofErr w:type="gramStart"/>
      <w:r w:rsidR="000B282C" w:rsidRPr="003D6C17">
        <w:t>covenants</w:t>
      </w:r>
      <w:proofErr w:type="gramEnd"/>
      <w:r w:rsidR="000B282C" w:rsidRPr="003D6C17">
        <w:t xml:space="preserve"> and conditions of the </w:t>
      </w:r>
      <w:r w:rsidR="00EF0F7B">
        <w:t>Agreement</w:t>
      </w:r>
      <w:r w:rsidR="000B282C" w:rsidRPr="003D6C17">
        <w:t xml:space="preserve"> shall remain unchanged and are hereby ratified and confirmed</w:t>
      </w:r>
      <w:r w:rsidR="00601B5B">
        <w:t xml:space="preserve"> as of the date hereof</w:t>
      </w:r>
      <w:r w:rsidR="000B282C" w:rsidRPr="003D6C17">
        <w:t xml:space="preserve"> as being in full force and effect. </w:t>
      </w:r>
      <w:r w:rsidR="003D6C17">
        <w:t xml:space="preserve"> </w:t>
      </w:r>
      <w:r w:rsidR="00601B5B">
        <w:t xml:space="preserve">Notwithstanding the foregoing, </w:t>
      </w:r>
      <w:proofErr w:type="gramStart"/>
      <w:r w:rsidR="00601B5B">
        <w:t>w</w:t>
      </w:r>
      <w:r w:rsidR="00152852" w:rsidRPr="00152852">
        <w:t>hether or not</w:t>
      </w:r>
      <w:proofErr w:type="gramEnd"/>
      <w:r w:rsidR="00152852" w:rsidRPr="00152852">
        <w:t xml:space="preserve"> specifically amended by this Amendment, all of the terms and provisions of the Agreement are hereby amended to the extent necessary to give effect to the purpose and intent of this Amendment.</w:t>
      </w:r>
    </w:p>
    <w:p w14:paraId="56443947" w14:textId="77777777"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14:paraId="12564A2A" w14:textId="77777777"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14:paraId="1367D9EB" w14:textId="77777777"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7"/>
          <w:type w:val="continuous"/>
          <w:pgSz w:w="12240" w:h="15840" w:code="1"/>
          <w:pgMar w:top="1440" w:right="1440" w:bottom="1440" w:left="1440" w:header="720" w:footer="720" w:gutter="0"/>
          <w:cols w:space="720"/>
          <w:noEndnote/>
          <w:titlePg/>
          <w:docGrid w:linePitch="326"/>
        </w:sectPr>
      </w:pPr>
    </w:p>
    <w:p w14:paraId="7DE1DD9A" w14:textId="77777777"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14:paraId="5CFF4A90" w14:textId="70ACE775" w:rsidR="00BD2463" w:rsidRDefault="00BD2463" w:rsidP="00BD24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7"/>
      </w:tblGrid>
      <w:tr w:rsidR="00A543AB" w:rsidRPr="00A543AB" w14:paraId="539EFFA4" w14:textId="77777777" w:rsidTr="0092212C">
        <w:tc>
          <w:tcPr>
            <w:tcW w:w="4788" w:type="dxa"/>
          </w:tcPr>
          <w:p w14:paraId="73CA435C" w14:textId="77777777" w:rsidR="00A543AB" w:rsidRPr="00A543AB" w:rsidRDefault="00A543AB" w:rsidP="00A543AB">
            <w:pPr>
              <w:widowControl/>
              <w:kinsoku/>
              <w:rPr>
                <w:color w:val="000000"/>
                <w:spacing w:val="-4"/>
                <w:szCs w:val="20"/>
              </w:rPr>
            </w:pPr>
          </w:p>
          <w:p w14:paraId="3187280B" w14:textId="77777777" w:rsidR="00A543AB" w:rsidRPr="00A543AB" w:rsidRDefault="00A543AB" w:rsidP="00A543AB">
            <w:pPr>
              <w:widowControl/>
              <w:kinsoku/>
              <w:rPr>
                <w:color w:val="000000"/>
                <w:spacing w:val="-4"/>
                <w:szCs w:val="20"/>
              </w:rPr>
            </w:pPr>
          </w:p>
          <w:p w14:paraId="2917FF25" w14:textId="77777777" w:rsidR="00A543AB" w:rsidRPr="00A543AB" w:rsidRDefault="00A543AB" w:rsidP="00A543AB">
            <w:pPr>
              <w:widowControl/>
              <w:kinsoku/>
              <w:rPr>
                <w:color w:val="000000"/>
                <w:spacing w:val="-4"/>
                <w:szCs w:val="20"/>
              </w:rPr>
            </w:pPr>
          </w:p>
          <w:p w14:paraId="18A3FD6B" w14:textId="77777777" w:rsidR="00A543AB" w:rsidRPr="00A543AB" w:rsidRDefault="00A543AB" w:rsidP="00A543AB">
            <w:pPr>
              <w:widowControl/>
              <w:kinsoku/>
              <w:rPr>
                <w:color w:val="000000"/>
                <w:spacing w:val="-4"/>
                <w:szCs w:val="20"/>
              </w:rPr>
            </w:pPr>
          </w:p>
          <w:p w14:paraId="663DB694" w14:textId="77777777" w:rsidR="00A543AB" w:rsidRPr="00A543AB" w:rsidRDefault="00A543AB" w:rsidP="00A543AB">
            <w:pPr>
              <w:widowControl/>
              <w:kinsoku/>
              <w:rPr>
                <w:color w:val="000000"/>
                <w:spacing w:val="-4"/>
                <w:szCs w:val="20"/>
              </w:rPr>
            </w:pPr>
            <w:r w:rsidRPr="00A543AB">
              <w:rPr>
                <w:color w:val="000000"/>
                <w:spacing w:val="-4"/>
                <w:szCs w:val="20"/>
              </w:rPr>
              <w:t>ATTEST:</w:t>
            </w:r>
          </w:p>
          <w:p w14:paraId="68923B42" w14:textId="77777777" w:rsidR="00A543AB" w:rsidRPr="00A543AB" w:rsidRDefault="00A543AB" w:rsidP="00A543AB">
            <w:pPr>
              <w:widowControl/>
              <w:kinsoku/>
              <w:rPr>
                <w:color w:val="000000"/>
                <w:spacing w:val="-4"/>
                <w:szCs w:val="20"/>
              </w:rPr>
            </w:pPr>
          </w:p>
          <w:p w14:paraId="4CF8379B" w14:textId="77777777" w:rsidR="00A543AB" w:rsidRPr="00A543AB" w:rsidRDefault="00A543AB" w:rsidP="00A543AB">
            <w:pPr>
              <w:widowControl/>
              <w:kinsoku/>
              <w:rPr>
                <w:color w:val="000000"/>
                <w:spacing w:val="-4"/>
                <w:szCs w:val="20"/>
              </w:rPr>
            </w:pPr>
          </w:p>
          <w:p w14:paraId="697A0CF9" w14:textId="77777777" w:rsidR="00A543AB" w:rsidRPr="00A543AB" w:rsidRDefault="00A543AB" w:rsidP="00A543AB">
            <w:pPr>
              <w:widowControl/>
              <w:kinsoku/>
              <w:rPr>
                <w:color w:val="000000"/>
                <w:spacing w:val="-4"/>
                <w:szCs w:val="20"/>
              </w:rPr>
            </w:pPr>
            <w:r w:rsidRPr="00A543AB">
              <w:rPr>
                <w:color w:val="000000"/>
                <w:spacing w:val="-4"/>
                <w:szCs w:val="20"/>
              </w:rPr>
              <w:t>_____________________________</w:t>
            </w:r>
          </w:p>
          <w:p w14:paraId="0A509A3B" w14:textId="77777777" w:rsidR="00A543AB" w:rsidRPr="00A543AB" w:rsidRDefault="00A543AB" w:rsidP="00A543AB">
            <w:pPr>
              <w:widowControl/>
              <w:kinsoku/>
              <w:rPr>
                <w:color w:val="000000"/>
                <w:spacing w:val="-4"/>
                <w:szCs w:val="20"/>
              </w:rPr>
            </w:pPr>
            <w:r w:rsidRPr="00A543AB">
              <w:rPr>
                <w:color w:val="000000"/>
                <w:spacing w:val="-4"/>
                <w:szCs w:val="20"/>
              </w:rPr>
              <w:t>Secretary or Assistant Secretary</w:t>
            </w:r>
          </w:p>
        </w:tc>
        <w:tc>
          <w:tcPr>
            <w:tcW w:w="4788" w:type="dxa"/>
          </w:tcPr>
          <w:p w14:paraId="513980E1" w14:textId="77777777" w:rsidR="00A543AB" w:rsidRPr="00A543AB" w:rsidRDefault="00A543AB" w:rsidP="00A543AB">
            <w:pPr>
              <w:widowControl/>
              <w:kinsoku/>
              <w:rPr>
                <w:color w:val="000000"/>
                <w:spacing w:val="-4"/>
                <w:szCs w:val="20"/>
              </w:rPr>
            </w:pPr>
            <w:r w:rsidRPr="00A543AB">
              <w:rPr>
                <w:color w:val="000000"/>
                <w:spacing w:val="-4"/>
                <w:szCs w:val="20"/>
              </w:rPr>
              <w:t>AUTHORITY:</w:t>
            </w:r>
          </w:p>
          <w:p w14:paraId="26122177" w14:textId="77777777" w:rsidR="00A543AB" w:rsidRPr="00A543AB" w:rsidRDefault="00A543AB" w:rsidP="00A543AB">
            <w:pPr>
              <w:widowControl/>
              <w:kinsoku/>
              <w:rPr>
                <w:color w:val="000000"/>
                <w:spacing w:val="-4"/>
                <w:szCs w:val="20"/>
              </w:rPr>
            </w:pPr>
          </w:p>
          <w:p w14:paraId="209A9106" w14:textId="77777777" w:rsidR="00A543AB" w:rsidRPr="00A543AB" w:rsidRDefault="00A543AB" w:rsidP="00A543AB">
            <w:pPr>
              <w:widowControl/>
              <w:kinsoku/>
              <w:rPr>
                <w:color w:val="000000"/>
                <w:spacing w:val="-4"/>
                <w:szCs w:val="20"/>
              </w:rPr>
            </w:pPr>
            <w:r w:rsidRPr="00A543AB">
              <w:rPr>
                <w:color w:val="000000"/>
                <w:spacing w:val="-4"/>
                <w:szCs w:val="20"/>
              </w:rPr>
              <w:t xml:space="preserve">COLORADO SPRINGS URBAN RENEWAL AUTHORITY </w:t>
            </w:r>
          </w:p>
          <w:p w14:paraId="64BA4EE5" w14:textId="77777777" w:rsidR="00A543AB" w:rsidRPr="00A543AB" w:rsidRDefault="00A543AB" w:rsidP="00A543AB">
            <w:pPr>
              <w:widowControl/>
              <w:kinsoku/>
              <w:rPr>
                <w:color w:val="000000"/>
                <w:spacing w:val="-4"/>
                <w:szCs w:val="20"/>
              </w:rPr>
            </w:pPr>
          </w:p>
          <w:p w14:paraId="5A719E7A" w14:textId="77777777" w:rsidR="00A543AB" w:rsidRPr="00A543AB" w:rsidRDefault="00A543AB" w:rsidP="00A543AB">
            <w:pPr>
              <w:widowControl/>
              <w:kinsoku/>
              <w:rPr>
                <w:color w:val="000000"/>
                <w:spacing w:val="-4"/>
                <w:szCs w:val="20"/>
              </w:rPr>
            </w:pPr>
          </w:p>
          <w:p w14:paraId="53D98EC1" w14:textId="77777777" w:rsidR="00A543AB" w:rsidRPr="00A543AB" w:rsidRDefault="00A543AB" w:rsidP="00A543AB">
            <w:pPr>
              <w:widowControl/>
              <w:kinsoku/>
              <w:rPr>
                <w:color w:val="000000"/>
                <w:spacing w:val="-4"/>
                <w:szCs w:val="20"/>
              </w:rPr>
            </w:pPr>
          </w:p>
          <w:p w14:paraId="5C46532F" w14:textId="77777777" w:rsidR="00A543AB" w:rsidRPr="00A543AB" w:rsidRDefault="00A543AB" w:rsidP="00A543AB">
            <w:pPr>
              <w:widowControl/>
              <w:kinsoku/>
              <w:rPr>
                <w:color w:val="000000"/>
                <w:spacing w:val="-4"/>
                <w:szCs w:val="20"/>
              </w:rPr>
            </w:pPr>
            <w:r w:rsidRPr="00A543AB">
              <w:rPr>
                <w:color w:val="000000"/>
                <w:spacing w:val="-4"/>
                <w:szCs w:val="20"/>
              </w:rPr>
              <w:t>By:</w:t>
            </w:r>
            <w:r w:rsidRPr="00A543AB">
              <w:rPr>
                <w:color w:val="000000"/>
                <w:spacing w:val="-4"/>
                <w:szCs w:val="20"/>
              </w:rPr>
              <w:tab/>
              <w:t>_______________________________</w:t>
            </w:r>
          </w:p>
          <w:p w14:paraId="10F22072" w14:textId="77777777" w:rsidR="00A543AB" w:rsidRPr="00A543AB" w:rsidRDefault="00A543AB" w:rsidP="00A543AB">
            <w:pPr>
              <w:widowControl/>
              <w:kinsoku/>
              <w:rPr>
                <w:color w:val="000000"/>
                <w:spacing w:val="-4"/>
                <w:szCs w:val="20"/>
              </w:rPr>
            </w:pPr>
            <w:r w:rsidRPr="00A543AB">
              <w:rPr>
                <w:color w:val="000000"/>
                <w:spacing w:val="-4"/>
                <w:szCs w:val="20"/>
              </w:rPr>
              <w:tab/>
              <w:t>Randle W. Case II, Chair</w:t>
            </w:r>
          </w:p>
          <w:p w14:paraId="33D37E3F" w14:textId="77777777" w:rsidR="00A543AB" w:rsidRPr="00A543AB" w:rsidRDefault="00A543AB" w:rsidP="00A543AB">
            <w:pPr>
              <w:widowControl/>
              <w:kinsoku/>
              <w:rPr>
                <w:color w:val="000000"/>
                <w:spacing w:val="-4"/>
                <w:szCs w:val="20"/>
              </w:rPr>
            </w:pPr>
          </w:p>
        </w:tc>
      </w:tr>
      <w:tr w:rsidR="00A543AB" w:rsidRPr="00A543AB" w14:paraId="7AA8FFE5" w14:textId="77777777" w:rsidTr="0092212C">
        <w:tc>
          <w:tcPr>
            <w:tcW w:w="4788" w:type="dxa"/>
          </w:tcPr>
          <w:p w14:paraId="15C21EBB" w14:textId="77777777" w:rsidR="00A543AB" w:rsidRPr="00A543AB" w:rsidRDefault="00A543AB" w:rsidP="00A543AB">
            <w:pPr>
              <w:widowControl/>
              <w:kinsoku/>
              <w:rPr>
                <w:color w:val="000000"/>
                <w:spacing w:val="-4"/>
                <w:szCs w:val="20"/>
              </w:rPr>
            </w:pPr>
          </w:p>
        </w:tc>
        <w:tc>
          <w:tcPr>
            <w:tcW w:w="4788" w:type="dxa"/>
          </w:tcPr>
          <w:p w14:paraId="5321B1D7" w14:textId="77777777" w:rsidR="00A543AB" w:rsidRPr="00A543AB" w:rsidRDefault="00A543AB" w:rsidP="00A543AB">
            <w:pPr>
              <w:widowControl/>
              <w:kinsoku/>
              <w:rPr>
                <w:color w:val="000000"/>
                <w:spacing w:val="-4"/>
                <w:szCs w:val="20"/>
              </w:rPr>
            </w:pPr>
            <w:r w:rsidRPr="00A543AB">
              <w:rPr>
                <w:color w:val="000000"/>
                <w:spacing w:val="-4"/>
                <w:szCs w:val="20"/>
              </w:rPr>
              <w:t>DEVELOPER:</w:t>
            </w:r>
          </w:p>
          <w:p w14:paraId="4EB07100" w14:textId="77777777" w:rsidR="00A543AB" w:rsidRPr="00A543AB" w:rsidRDefault="00A543AB" w:rsidP="00A543AB">
            <w:pPr>
              <w:widowControl/>
              <w:kinsoku/>
              <w:rPr>
                <w:color w:val="000000"/>
                <w:spacing w:val="-4"/>
                <w:szCs w:val="20"/>
              </w:rPr>
            </w:pPr>
          </w:p>
          <w:p w14:paraId="61EBFC6B" w14:textId="77777777" w:rsidR="00A543AB" w:rsidRPr="00A543AB" w:rsidRDefault="00A543AB" w:rsidP="00A543AB">
            <w:pPr>
              <w:widowControl/>
              <w:kinsoku/>
              <w:rPr>
                <w:color w:val="000000"/>
                <w:spacing w:val="-4"/>
                <w:szCs w:val="20"/>
              </w:rPr>
            </w:pPr>
            <w:r w:rsidRPr="00A543AB">
              <w:rPr>
                <w:color w:val="000000"/>
                <w:spacing w:val="-4"/>
                <w:szCs w:val="20"/>
              </w:rPr>
              <w:t>BLUE &amp; SILVER DEVELOPMENT PARTNERS, LLC</w:t>
            </w:r>
          </w:p>
          <w:p w14:paraId="353F7288" w14:textId="77777777" w:rsidR="00A543AB" w:rsidRPr="00A543AB" w:rsidRDefault="00A543AB" w:rsidP="00A543AB">
            <w:pPr>
              <w:widowControl/>
              <w:kinsoku/>
              <w:rPr>
                <w:color w:val="000000"/>
                <w:spacing w:val="-4"/>
                <w:szCs w:val="20"/>
              </w:rPr>
            </w:pPr>
          </w:p>
          <w:p w14:paraId="5E19A731" w14:textId="77777777" w:rsidR="00A543AB" w:rsidRPr="00A543AB" w:rsidRDefault="00A543AB" w:rsidP="00A543AB">
            <w:pPr>
              <w:widowControl/>
              <w:kinsoku/>
              <w:rPr>
                <w:color w:val="000000"/>
                <w:spacing w:val="-4"/>
                <w:szCs w:val="20"/>
              </w:rPr>
            </w:pPr>
          </w:p>
          <w:p w14:paraId="192FF033" w14:textId="77777777" w:rsidR="00A543AB" w:rsidRPr="00A543AB" w:rsidRDefault="00A543AB" w:rsidP="00A543AB">
            <w:pPr>
              <w:widowControl/>
              <w:kinsoku/>
              <w:rPr>
                <w:color w:val="000000"/>
                <w:spacing w:val="-4"/>
                <w:szCs w:val="20"/>
              </w:rPr>
            </w:pPr>
            <w:r w:rsidRPr="00A543AB">
              <w:rPr>
                <w:color w:val="000000"/>
                <w:spacing w:val="-4"/>
                <w:szCs w:val="20"/>
              </w:rPr>
              <w:t>By: __________________________</w:t>
            </w:r>
          </w:p>
          <w:p w14:paraId="5F1E8F7F" w14:textId="77777777" w:rsidR="00A543AB" w:rsidRPr="00A543AB" w:rsidRDefault="00A543AB" w:rsidP="00A543AB">
            <w:pPr>
              <w:widowControl/>
              <w:kinsoku/>
              <w:rPr>
                <w:color w:val="000000"/>
                <w:spacing w:val="-4"/>
                <w:szCs w:val="20"/>
              </w:rPr>
            </w:pPr>
            <w:r w:rsidRPr="00A543AB">
              <w:rPr>
                <w:color w:val="000000"/>
                <w:spacing w:val="-4"/>
                <w:szCs w:val="20"/>
              </w:rPr>
              <w:tab/>
              <w:t xml:space="preserve">Daniel </w:t>
            </w:r>
            <w:proofErr w:type="spellStart"/>
            <w:r w:rsidRPr="00A543AB">
              <w:rPr>
                <w:color w:val="000000"/>
                <w:spacing w:val="-4"/>
                <w:szCs w:val="20"/>
              </w:rPr>
              <w:t>Schnepf</w:t>
            </w:r>
            <w:proofErr w:type="spellEnd"/>
            <w:r w:rsidRPr="00A543AB">
              <w:rPr>
                <w:color w:val="000000"/>
                <w:spacing w:val="-4"/>
                <w:szCs w:val="20"/>
              </w:rPr>
              <w:t>, Manager</w:t>
            </w:r>
          </w:p>
          <w:p w14:paraId="3273D31B" w14:textId="77777777" w:rsidR="00A543AB" w:rsidRPr="00A543AB" w:rsidRDefault="00A543AB" w:rsidP="00A543AB">
            <w:pPr>
              <w:widowControl/>
              <w:kinsoku/>
              <w:rPr>
                <w:color w:val="000000"/>
                <w:spacing w:val="-4"/>
                <w:szCs w:val="20"/>
              </w:rPr>
            </w:pPr>
          </w:p>
          <w:p w14:paraId="20766FBA" w14:textId="77777777" w:rsidR="00A543AB" w:rsidRPr="00A543AB" w:rsidRDefault="00A543AB" w:rsidP="00A543AB">
            <w:pPr>
              <w:widowControl/>
              <w:kinsoku/>
              <w:rPr>
                <w:color w:val="000000"/>
                <w:spacing w:val="-4"/>
                <w:szCs w:val="20"/>
              </w:rPr>
            </w:pPr>
          </w:p>
        </w:tc>
      </w:tr>
      <w:tr w:rsidR="00A543AB" w:rsidRPr="00A543AB" w14:paraId="4E5CB078" w14:textId="77777777" w:rsidTr="0092212C">
        <w:tc>
          <w:tcPr>
            <w:tcW w:w="4788" w:type="dxa"/>
          </w:tcPr>
          <w:p w14:paraId="406DDF6A" w14:textId="77777777" w:rsidR="00A543AB" w:rsidRPr="00A543AB" w:rsidRDefault="00A543AB" w:rsidP="00A543AB">
            <w:pPr>
              <w:widowControl/>
              <w:kinsoku/>
              <w:rPr>
                <w:color w:val="000000"/>
                <w:spacing w:val="-4"/>
                <w:szCs w:val="20"/>
              </w:rPr>
            </w:pPr>
          </w:p>
          <w:p w14:paraId="5220BCA6" w14:textId="77777777" w:rsidR="00A543AB" w:rsidRPr="00A543AB" w:rsidRDefault="00A543AB" w:rsidP="00A543AB">
            <w:pPr>
              <w:widowControl/>
              <w:kinsoku/>
              <w:rPr>
                <w:color w:val="000000"/>
                <w:spacing w:val="-4"/>
                <w:szCs w:val="20"/>
              </w:rPr>
            </w:pPr>
          </w:p>
          <w:p w14:paraId="4CF20FA9" w14:textId="77777777" w:rsidR="00A543AB" w:rsidRPr="00A543AB" w:rsidRDefault="00A543AB" w:rsidP="00A543AB">
            <w:pPr>
              <w:widowControl/>
              <w:kinsoku/>
              <w:rPr>
                <w:color w:val="000000"/>
                <w:spacing w:val="-4"/>
                <w:szCs w:val="20"/>
              </w:rPr>
            </w:pPr>
          </w:p>
          <w:p w14:paraId="7D4F9AAF" w14:textId="77777777" w:rsidR="00A543AB" w:rsidRPr="00A543AB" w:rsidRDefault="00A543AB" w:rsidP="00A543AB">
            <w:pPr>
              <w:widowControl/>
              <w:kinsoku/>
              <w:rPr>
                <w:color w:val="000000"/>
                <w:spacing w:val="-4"/>
                <w:szCs w:val="20"/>
              </w:rPr>
            </w:pPr>
            <w:r w:rsidRPr="00A543AB">
              <w:rPr>
                <w:color w:val="000000"/>
                <w:spacing w:val="-4"/>
                <w:szCs w:val="20"/>
              </w:rPr>
              <w:t>ATTEST:</w:t>
            </w:r>
          </w:p>
          <w:p w14:paraId="71EE3909" w14:textId="77777777" w:rsidR="00A543AB" w:rsidRPr="00A543AB" w:rsidRDefault="00A543AB" w:rsidP="00A543AB">
            <w:pPr>
              <w:widowControl/>
              <w:kinsoku/>
              <w:rPr>
                <w:color w:val="000000"/>
                <w:spacing w:val="-4"/>
                <w:szCs w:val="20"/>
              </w:rPr>
            </w:pPr>
          </w:p>
          <w:p w14:paraId="5B0F0C13" w14:textId="77777777" w:rsidR="00A543AB" w:rsidRPr="00A543AB" w:rsidRDefault="00A543AB" w:rsidP="00A543AB">
            <w:pPr>
              <w:widowControl/>
              <w:kinsoku/>
              <w:rPr>
                <w:color w:val="000000"/>
                <w:spacing w:val="-4"/>
                <w:szCs w:val="20"/>
              </w:rPr>
            </w:pPr>
          </w:p>
          <w:p w14:paraId="6B4F0DD7" w14:textId="77777777" w:rsidR="00A543AB" w:rsidRPr="00A543AB" w:rsidRDefault="00A543AB" w:rsidP="00A543AB">
            <w:pPr>
              <w:widowControl/>
              <w:kinsoku/>
              <w:rPr>
                <w:color w:val="000000"/>
                <w:spacing w:val="-4"/>
                <w:szCs w:val="20"/>
              </w:rPr>
            </w:pPr>
            <w:r w:rsidRPr="00A543AB">
              <w:rPr>
                <w:color w:val="000000"/>
                <w:spacing w:val="-4"/>
                <w:szCs w:val="20"/>
              </w:rPr>
              <w:t>_____________________________</w:t>
            </w:r>
          </w:p>
          <w:p w14:paraId="52D2E23F" w14:textId="77777777" w:rsidR="00A543AB" w:rsidRPr="00A543AB" w:rsidRDefault="00A543AB" w:rsidP="00A543AB">
            <w:pPr>
              <w:widowControl/>
              <w:kinsoku/>
              <w:rPr>
                <w:color w:val="000000"/>
                <w:spacing w:val="-4"/>
                <w:szCs w:val="20"/>
              </w:rPr>
            </w:pPr>
            <w:r w:rsidRPr="00A543AB">
              <w:rPr>
                <w:color w:val="000000"/>
                <w:spacing w:val="-4"/>
                <w:szCs w:val="20"/>
              </w:rPr>
              <w:t>Secretary or Assistant Secretary</w:t>
            </w:r>
          </w:p>
        </w:tc>
        <w:tc>
          <w:tcPr>
            <w:tcW w:w="4788" w:type="dxa"/>
          </w:tcPr>
          <w:p w14:paraId="7F3E6F83" w14:textId="77777777" w:rsidR="00A543AB" w:rsidRPr="00A543AB" w:rsidRDefault="00A543AB" w:rsidP="00A543AB">
            <w:pPr>
              <w:widowControl/>
              <w:kinsoku/>
              <w:rPr>
                <w:color w:val="000000"/>
                <w:spacing w:val="-4"/>
                <w:szCs w:val="20"/>
              </w:rPr>
            </w:pPr>
            <w:r w:rsidRPr="00A543AB">
              <w:rPr>
                <w:color w:val="000000"/>
                <w:spacing w:val="-4"/>
                <w:szCs w:val="20"/>
              </w:rPr>
              <w:t>DISTRICT:</w:t>
            </w:r>
          </w:p>
          <w:p w14:paraId="1948F29F" w14:textId="77777777" w:rsidR="00A543AB" w:rsidRPr="00A543AB" w:rsidRDefault="00A543AB" w:rsidP="00A543AB">
            <w:pPr>
              <w:widowControl/>
              <w:kinsoku/>
              <w:rPr>
                <w:color w:val="000000"/>
                <w:spacing w:val="-4"/>
                <w:szCs w:val="20"/>
              </w:rPr>
            </w:pPr>
          </w:p>
          <w:p w14:paraId="1E908552" w14:textId="77777777" w:rsidR="00A543AB" w:rsidRPr="00A543AB" w:rsidRDefault="00A543AB" w:rsidP="00A543AB">
            <w:pPr>
              <w:widowControl/>
              <w:kinsoku/>
              <w:rPr>
                <w:color w:val="000000"/>
                <w:spacing w:val="-4"/>
                <w:szCs w:val="20"/>
              </w:rPr>
            </w:pPr>
            <w:r w:rsidRPr="00A543AB">
              <w:rPr>
                <w:color w:val="000000"/>
                <w:spacing w:val="-4"/>
                <w:szCs w:val="20"/>
              </w:rPr>
              <w:t>USAFA VISITOR’S CENTER BUSINESS IMPROVEMENT DISTRICT</w:t>
            </w:r>
          </w:p>
          <w:p w14:paraId="2957602D" w14:textId="77777777" w:rsidR="00A543AB" w:rsidRPr="00A543AB" w:rsidRDefault="00A543AB" w:rsidP="00A543AB">
            <w:pPr>
              <w:widowControl/>
              <w:kinsoku/>
              <w:rPr>
                <w:color w:val="000000"/>
                <w:spacing w:val="-4"/>
                <w:szCs w:val="20"/>
              </w:rPr>
            </w:pPr>
          </w:p>
          <w:p w14:paraId="18115978" w14:textId="77777777" w:rsidR="00A543AB" w:rsidRPr="00A543AB" w:rsidRDefault="00A543AB" w:rsidP="00A543AB">
            <w:pPr>
              <w:widowControl/>
              <w:kinsoku/>
              <w:rPr>
                <w:color w:val="000000"/>
                <w:spacing w:val="-4"/>
                <w:szCs w:val="20"/>
              </w:rPr>
            </w:pPr>
          </w:p>
          <w:p w14:paraId="6CA21021" w14:textId="77777777" w:rsidR="00A543AB" w:rsidRPr="00A543AB" w:rsidRDefault="00A543AB" w:rsidP="00A543AB">
            <w:pPr>
              <w:widowControl/>
              <w:kinsoku/>
              <w:rPr>
                <w:color w:val="000000"/>
                <w:spacing w:val="-4"/>
                <w:szCs w:val="20"/>
              </w:rPr>
            </w:pPr>
            <w:r w:rsidRPr="00A543AB">
              <w:rPr>
                <w:color w:val="000000"/>
                <w:spacing w:val="-4"/>
                <w:szCs w:val="20"/>
              </w:rPr>
              <w:t>By:</w:t>
            </w:r>
            <w:r w:rsidRPr="00A543AB">
              <w:rPr>
                <w:color w:val="000000"/>
                <w:spacing w:val="-4"/>
                <w:szCs w:val="20"/>
              </w:rPr>
              <w:tab/>
              <w:t>___________________________</w:t>
            </w:r>
          </w:p>
          <w:p w14:paraId="2051C364" w14:textId="77777777" w:rsidR="00A543AB" w:rsidRPr="00A543AB" w:rsidRDefault="00A543AB" w:rsidP="00A543AB">
            <w:pPr>
              <w:widowControl/>
              <w:kinsoku/>
              <w:rPr>
                <w:color w:val="000000"/>
                <w:spacing w:val="-4"/>
                <w:szCs w:val="20"/>
              </w:rPr>
            </w:pPr>
            <w:r w:rsidRPr="00A543AB">
              <w:rPr>
                <w:color w:val="000000"/>
                <w:spacing w:val="-4"/>
                <w:szCs w:val="20"/>
              </w:rPr>
              <w:tab/>
              <w:t>President</w:t>
            </w:r>
          </w:p>
          <w:p w14:paraId="7BC1A17A" w14:textId="77777777" w:rsidR="00A543AB" w:rsidRPr="00A543AB" w:rsidRDefault="00A543AB" w:rsidP="00A543AB">
            <w:pPr>
              <w:widowControl/>
              <w:kinsoku/>
              <w:rPr>
                <w:color w:val="000000"/>
                <w:spacing w:val="-4"/>
                <w:szCs w:val="20"/>
              </w:rPr>
            </w:pPr>
          </w:p>
        </w:tc>
      </w:tr>
      <w:tr w:rsidR="00A543AB" w:rsidRPr="00A543AB" w14:paraId="2B889206" w14:textId="77777777" w:rsidTr="0092212C">
        <w:tc>
          <w:tcPr>
            <w:tcW w:w="4788" w:type="dxa"/>
          </w:tcPr>
          <w:p w14:paraId="54EABBD7" w14:textId="77777777" w:rsidR="00A543AB" w:rsidRPr="00A543AB" w:rsidRDefault="00A543AB" w:rsidP="00A543AB">
            <w:pPr>
              <w:widowControl/>
              <w:kinsoku/>
              <w:rPr>
                <w:color w:val="000000"/>
                <w:spacing w:val="-4"/>
                <w:szCs w:val="20"/>
              </w:rPr>
            </w:pPr>
          </w:p>
        </w:tc>
        <w:tc>
          <w:tcPr>
            <w:tcW w:w="4788" w:type="dxa"/>
          </w:tcPr>
          <w:p w14:paraId="4C35158D" w14:textId="77777777" w:rsidR="00A543AB" w:rsidRPr="00A543AB" w:rsidRDefault="00A543AB" w:rsidP="00A543AB">
            <w:pPr>
              <w:widowControl/>
              <w:kinsoku/>
              <w:rPr>
                <w:color w:val="000000"/>
                <w:spacing w:val="-4"/>
                <w:szCs w:val="20"/>
              </w:rPr>
            </w:pPr>
          </w:p>
        </w:tc>
      </w:tr>
    </w:tbl>
    <w:p w14:paraId="34386D6A" w14:textId="77777777" w:rsidR="00A543AB" w:rsidRPr="00354180" w:rsidRDefault="00A543AB" w:rsidP="00BD2463"/>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3E4EA92C" w14:textId="7EEE8312" w:rsidR="0027374B" w:rsidRDefault="0027374B" w:rsidP="005775C7">
      <w:pPr>
        <w:widowControl/>
        <w:sectPr w:rsidR="0027374B" w:rsidSect="002F2CD0">
          <w:pgSz w:w="12240" w:h="15840" w:code="1"/>
          <w:pgMar w:top="1440" w:right="1440" w:bottom="1440" w:left="1440" w:header="720" w:footer="720" w:gutter="0"/>
          <w:cols w:space="720"/>
          <w:noEndnote/>
          <w:titlePg/>
        </w:sectPr>
      </w:pPr>
    </w:p>
    <w:p w14:paraId="03044CAB" w14:textId="77777777" w:rsidR="00247DB3" w:rsidRPr="00247DB3" w:rsidRDefault="00247DB3" w:rsidP="00247DB3">
      <w:pPr>
        <w:keepNext/>
        <w:widowControl/>
        <w:kinsoku/>
        <w:jc w:val="center"/>
        <w:rPr>
          <w:b/>
          <w:caps/>
          <w:szCs w:val="20"/>
        </w:rPr>
      </w:pPr>
      <w:r w:rsidRPr="00247DB3">
        <w:rPr>
          <w:b/>
          <w:caps/>
          <w:szCs w:val="20"/>
        </w:rPr>
        <w:lastRenderedPageBreak/>
        <w:t>EXHIBIT C</w:t>
      </w:r>
    </w:p>
    <w:p w14:paraId="56FDEF4C" w14:textId="77777777" w:rsidR="00247DB3" w:rsidRPr="00247DB3" w:rsidRDefault="00247DB3" w:rsidP="00247DB3">
      <w:pPr>
        <w:keepNext/>
        <w:widowControl/>
        <w:kinsoku/>
        <w:spacing w:after="240"/>
        <w:jc w:val="center"/>
        <w:rPr>
          <w:b/>
          <w:caps/>
          <w:szCs w:val="20"/>
        </w:rPr>
      </w:pPr>
      <w:r w:rsidRPr="00247DB3">
        <w:rPr>
          <w:b/>
          <w:caps/>
          <w:szCs w:val="20"/>
        </w:rPr>
        <w:t>SCHEDULE OF PERFORMANCE (SUBJECT TO CHANGE)</w:t>
      </w:r>
    </w:p>
    <w:p w14:paraId="66D212C5" w14:textId="77777777" w:rsidR="00247DB3" w:rsidRPr="00247DB3" w:rsidRDefault="00247DB3" w:rsidP="00247DB3">
      <w:pPr>
        <w:widowControl/>
        <w:kinsoku/>
        <w:spacing w:after="160" w:line="259" w:lineRule="auto"/>
        <w:rPr>
          <w:rFonts w:eastAsia="Calibri"/>
        </w:rPr>
      </w:pPr>
    </w:p>
    <w:p w14:paraId="24271072" w14:textId="1517A06E" w:rsidR="00247DB3" w:rsidRPr="00247DB3" w:rsidRDefault="00247DB3" w:rsidP="00247DB3">
      <w:pPr>
        <w:widowControl/>
        <w:tabs>
          <w:tab w:val="right" w:pos="7920"/>
        </w:tabs>
        <w:kinsoku/>
        <w:spacing w:after="160" w:line="259" w:lineRule="auto"/>
        <w:rPr>
          <w:rFonts w:eastAsia="Calibri"/>
        </w:rPr>
      </w:pPr>
      <w:r w:rsidRPr="00247DB3">
        <w:rPr>
          <w:rFonts w:eastAsia="Calibri"/>
        </w:rPr>
        <w:t>Estimated Bond Closing</w:t>
      </w:r>
      <w:r w:rsidRPr="00247DB3">
        <w:rPr>
          <w:rFonts w:eastAsia="Calibri"/>
        </w:rPr>
        <w:tab/>
      </w:r>
      <w:r>
        <w:rPr>
          <w:rFonts w:eastAsia="Calibri"/>
        </w:rPr>
        <w:t>January 31, 2022</w:t>
      </w:r>
    </w:p>
    <w:p w14:paraId="09AEA914" w14:textId="77777777" w:rsidR="00247DB3" w:rsidRPr="00247DB3" w:rsidRDefault="00247DB3" w:rsidP="00247DB3">
      <w:pPr>
        <w:widowControl/>
        <w:tabs>
          <w:tab w:val="right" w:pos="7920"/>
        </w:tabs>
        <w:kinsoku/>
        <w:spacing w:after="160" w:line="259" w:lineRule="auto"/>
        <w:rPr>
          <w:rFonts w:eastAsia="Calibri"/>
        </w:rPr>
      </w:pPr>
    </w:p>
    <w:p w14:paraId="0C991892" w14:textId="4ACC971A" w:rsidR="00247DB3" w:rsidRPr="00247DB3" w:rsidRDefault="00247DB3" w:rsidP="00247DB3">
      <w:pPr>
        <w:widowControl/>
        <w:tabs>
          <w:tab w:val="right" w:pos="7920"/>
        </w:tabs>
        <w:kinsoku/>
        <w:spacing w:after="160" w:line="259" w:lineRule="auto"/>
        <w:rPr>
          <w:rFonts w:eastAsia="Calibri"/>
        </w:rPr>
      </w:pPr>
      <w:r w:rsidRPr="00247DB3">
        <w:rPr>
          <w:rFonts w:eastAsia="Calibri"/>
        </w:rPr>
        <w:t>Commencement of Infrastructure Construction</w:t>
      </w:r>
      <w:r w:rsidRPr="00247DB3">
        <w:rPr>
          <w:rFonts w:eastAsia="Calibri"/>
        </w:rPr>
        <w:tab/>
      </w:r>
      <w:r>
        <w:rPr>
          <w:rFonts w:eastAsia="Calibri"/>
        </w:rPr>
        <w:t>March 1, 2022</w:t>
      </w:r>
    </w:p>
    <w:p w14:paraId="68504445" w14:textId="77777777" w:rsidR="00247DB3" w:rsidRPr="00247DB3" w:rsidRDefault="00247DB3" w:rsidP="00247DB3">
      <w:pPr>
        <w:widowControl/>
        <w:tabs>
          <w:tab w:val="right" w:pos="7920"/>
        </w:tabs>
        <w:kinsoku/>
        <w:spacing w:after="160" w:line="259" w:lineRule="auto"/>
        <w:rPr>
          <w:rFonts w:eastAsia="Calibri"/>
        </w:rPr>
      </w:pPr>
    </w:p>
    <w:p w14:paraId="6A5803D9" w14:textId="5C04CF45"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Pad Delivery</w:t>
      </w:r>
      <w:r w:rsidRPr="00247DB3">
        <w:rPr>
          <w:rFonts w:eastAsia="Calibri"/>
        </w:rPr>
        <w:tab/>
      </w:r>
      <w:r>
        <w:rPr>
          <w:rFonts w:eastAsia="Calibri"/>
        </w:rPr>
        <w:t>March 1, 2022</w:t>
      </w:r>
    </w:p>
    <w:p w14:paraId="4D98948A" w14:textId="77777777" w:rsidR="00247DB3" w:rsidRPr="00247DB3" w:rsidRDefault="00247DB3" w:rsidP="00247DB3">
      <w:pPr>
        <w:widowControl/>
        <w:tabs>
          <w:tab w:val="right" w:pos="7920"/>
        </w:tabs>
        <w:kinsoku/>
        <w:spacing w:after="160" w:line="259" w:lineRule="auto"/>
        <w:rPr>
          <w:rFonts w:eastAsia="Calibri"/>
        </w:rPr>
      </w:pPr>
    </w:p>
    <w:p w14:paraId="718763DF" w14:textId="77777777" w:rsidR="00247DB3" w:rsidRPr="00247DB3" w:rsidRDefault="00247DB3" w:rsidP="00247DB3">
      <w:pPr>
        <w:widowControl/>
        <w:tabs>
          <w:tab w:val="right" w:pos="7920"/>
        </w:tabs>
        <w:kinsoku/>
        <w:spacing w:after="160" w:line="259" w:lineRule="auto"/>
        <w:rPr>
          <w:rFonts w:eastAsia="Calibri"/>
          <w:u w:val="single"/>
        </w:rPr>
      </w:pPr>
      <w:r w:rsidRPr="00247DB3">
        <w:rPr>
          <w:rFonts w:eastAsia="Calibri"/>
          <w:u w:val="single"/>
        </w:rPr>
        <w:t>Infrastructure Construction Elements (From Commencement of Construction)</w:t>
      </w:r>
    </w:p>
    <w:p w14:paraId="720F57DF"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Grading and Erosion Control</w:t>
      </w:r>
      <w:r w:rsidRPr="00247DB3">
        <w:rPr>
          <w:rFonts w:eastAsia="Calibri"/>
        </w:rPr>
        <w:tab/>
        <w:t>120 Days</w:t>
      </w:r>
    </w:p>
    <w:p w14:paraId="51AAFB93"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Water Main (on-site and off-site)</w:t>
      </w:r>
      <w:r w:rsidRPr="00247DB3">
        <w:rPr>
          <w:rFonts w:eastAsia="Calibri"/>
        </w:rPr>
        <w:tab/>
        <w:t>180 Days</w:t>
      </w:r>
    </w:p>
    <w:p w14:paraId="27821018"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Temporary Electric</w:t>
      </w:r>
      <w:r w:rsidRPr="00247DB3">
        <w:rPr>
          <w:rFonts w:eastAsia="Calibri"/>
        </w:rPr>
        <w:tab/>
        <w:t>90 Days</w:t>
      </w:r>
    </w:p>
    <w:p w14:paraId="43B02C74"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Sanitary Sewer Main (on-site)</w:t>
      </w:r>
      <w:r w:rsidRPr="00247DB3">
        <w:rPr>
          <w:rFonts w:eastAsia="Calibri"/>
        </w:rPr>
        <w:tab/>
        <w:t>120 Days</w:t>
      </w:r>
    </w:p>
    <w:p w14:paraId="58A63FC5"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Sanitary Sewer Lift Station</w:t>
      </w:r>
      <w:r w:rsidRPr="00247DB3">
        <w:rPr>
          <w:rFonts w:eastAsia="Calibri"/>
        </w:rPr>
        <w:tab/>
        <w:t>270 Days</w:t>
      </w:r>
    </w:p>
    <w:p w14:paraId="7CE95C67"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Sanitary Sewer Force Main</w:t>
      </w:r>
      <w:r w:rsidRPr="00247DB3">
        <w:rPr>
          <w:rFonts w:eastAsia="Calibri"/>
        </w:rPr>
        <w:tab/>
        <w:t>270 Days</w:t>
      </w:r>
    </w:p>
    <w:p w14:paraId="1F8AD494"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Roadway/Storm Sewer</w:t>
      </w:r>
      <w:r w:rsidRPr="00247DB3">
        <w:rPr>
          <w:rFonts w:eastAsia="Calibri"/>
        </w:rPr>
        <w:tab/>
        <w:t>270 Days</w:t>
      </w:r>
    </w:p>
    <w:p w14:paraId="2C0A00AB"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Electric and Gas</w:t>
      </w:r>
      <w:r w:rsidRPr="00247DB3">
        <w:rPr>
          <w:rFonts w:eastAsia="Calibri"/>
        </w:rPr>
        <w:tab/>
        <w:t>300 Days</w:t>
      </w:r>
    </w:p>
    <w:p w14:paraId="16C85DDD"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Landscaping</w:t>
      </w:r>
      <w:r w:rsidRPr="00247DB3">
        <w:rPr>
          <w:rFonts w:eastAsia="Calibri"/>
        </w:rPr>
        <w:tab/>
        <w:t>365 Days</w:t>
      </w:r>
    </w:p>
    <w:p w14:paraId="1FC5B48A" w14:textId="77777777" w:rsidR="00247DB3" w:rsidRPr="00247DB3" w:rsidRDefault="00247DB3" w:rsidP="00247DB3">
      <w:pPr>
        <w:widowControl/>
        <w:tabs>
          <w:tab w:val="left" w:pos="720"/>
          <w:tab w:val="right" w:pos="7920"/>
        </w:tabs>
        <w:kinsoku/>
        <w:spacing w:after="160" w:line="259" w:lineRule="auto"/>
        <w:rPr>
          <w:rFonts w:eastAsia="Calibri"/>
        </w:rPr>
      </w:pPr>
    </w:p>
    <w:p w14:paraId="7EABD005" w14:textId="77777777" w:rsidR="00247DB3" w:rsidRPr="00247DB3" w:rsidRDefault="00247DB3" w:rsidP="00247DB3">
      <w:pPr>
        <w:widowControl/>
        <w:tabs>
          <w:tab w:val="left" w:pos="720"/>
          <w:tab w:val="right" w:pos="7920"/>
        </w:tabs>
        <w:kinsoku/>
        <w:spacing w:after="160" w:line="259" w:lineRule="auto"/>
        <w:rPr>
          <w:rFonts w:eastAsia="Calibri"/>
          <w:u w:val="single"/>
        </w:rPr>
      </w:pPr>
      <w:r w:rsidRPr="00247DB3">
        <w:rPr>
          <w:rFonts w:eastAsia="Calibri"/>
          <w:u w:val="single"/>
        </w:rPr>
        <w:t>Visitor Center Construction</w:t>
      </w:r>
    </w:p>
    <w:p w14:paraId="2058515F" w14:textId="29819055"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Commencement of Construction</w:t>
      </w:r>
      <w:r w:rsidRPr="00247DB3">
        <w:rPr>
          <w:rFonts w:eastAsia="Calibri"/>
        </w:rPr>
        <w:tab/>
      </w:r>
      <w:r>
        <w:rPr>
          <w:rFonts w:eastAsia="Calibri"/>
        </w:rPr>
        <w:t>May</w:t>
      </w:r>
      <w:r w:rsidRPr="00247DB3">
        <w:rPr>
          <w:rFonts w:eastAsia="Calibri"/>
        </w:rPr>
        <w:t xml:space="preserve"> 15, 2022</w:t>
      </w:r>
    </w:p>
    <w:p w14:paraId="77365F3B" w14:textId="77777777"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Completion of Visitor Center (Core and Shell)</w:t>
      </w:r>
      <w:r w:rsidRPr="00247DB3">
        <w:rPr>
          <w:rFonts w:eastAsia="Calibri"/>
        </w:rPr>
        <w:tab/>
        <w:t>15 months</w:t>
      </w:r>
    </w:p>
    <w:p w14:paraId="7BF063B3" w14:textId="5163642C" w:rsidR="00247DB3" w:rsidRPr="00247DB3" w:rsidRDefault="00247DB3" w:rsidP="00247DB3">
      <w:pPr>
        <w:widowControl/>
        <w:tabs>
          <w:tab w:val="left" w:pos="720"/>
          <w:tab w:val="right" w:pos="7920"/>
        </w:tabs>
        <w:kinsoku/>
        <w:spacing w:after="160" w:line="259" w:lineRule="auto"/>
        <w:rPr>
          <w:rFonts w:eastAsia="Calibri"/>
        </w:rPr>
      </w:pPr>
      <w:r w:rsidRPr="00247DB3">
        <w:rPr>
          <w:rFonts w:eastAsia="Calibri"/>
        </w:rPr>
        <w:tab/>
        <w:t>Visitor Center – Opening</w:t>
      </w:r>
      <w:r w:rsidRPr="00247DB3">
        <w:rPr>
          <w:rFonts w:eastAsia="Calibri"/>
        </w:rPr>
        <w:tab/>
        <w:t xml:space="preserve">NLT </w:t>
      </w:r>
      <w:r>
        <w:rPr>
          <w:rFonts w:eastAsia="Calibri"/>
        </w:rPr>
        <w:t>February 16</w:t>
      </w:r>
      <w:r w:rsidRPr="00247DB3">
        <w:rPr>
          <w:rFonts w:eastAsia="Calibri"/>
        </w:rPr>
        <w:t>, 202</w:t>
      </w:r>
      <w:r>
        <w:rPr>
          <w:rFonts w:eastAsia="Calibri"/>
        </w:rPr>
        <w:t>4</w:t>
      </w:r>
    </w:p>
    <w:p w14:paraId="502DC13D" w14:textId="77777777" w:rsidR="00247DB3" w:rsidRPr="00247DB3" w:rsidRDefault="00247DB3" w:rsidP="00247DB3">
      <w:pPr>
        <w:widowControl/>
        <w:kinsoku/>
        <w:spacing w:line="0" w:lineRule="atLeast"/>
        <w:jc w:val="center"/>
        <w:rPr>
          <w:szCs w:val="20"/>
        </w:rPr>
      </w:pPr>
    </w:p>
    <w:p w14:paraId="04F8A5CF" w14:textId="77777777" w:rsidR="008278B8" w:rsidRPr="001F4164" w:rsidRDefault="008278B8" w:rsidP="001F4164">
      <w:pPr>
        <w:widowControl/>
        <w:jc w:val="center"/>
      </w:pPr>
    </w:p>
    <w:sectPr w:rsidR="008278B8"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4790" w14:textId="77777777" w:rsidR="002B11C7" w:rsidRDefault="002B11C7" w:rsidP="009C5C1D">
      <w:r>
        <w:separator/>
      </w:r>
    </w:p>
  </w:endnote>
  <w:endnote w:type="continuationSeparator" w:id="0">
    <w:p w14:paraId="44B08A76" w14:textId="77777777" w:rsidR="002B11C7" w:rsidRDefault="002B11C7"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61DD" w14:textId="77777777" w:rsidR="002B11C7" w:rsidRDefault="002B11C7" w:rsidP="009C5C1D">
      <w:r>
        <w:separator/>
      </w:r>
    </w:p>
  </w:footnote>
  <w:footnote w:type="continuationSeparator" w:id="0">
    <w:p w14:paraId="33B3EFD4" w14:textId="77777777" w:rsidR="002B11C7" w:rsidRDefault="002B11C7"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68D92B6C"/>
    <w:multiLevelType w:val="hybridMultilevel"/>
    <w:tmpl w:val="F404C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12E25"/>
    <w:rsid w:val="00022AE6"/>
    <w:rsid w:val="00024BDE"/>
    <w:rsid w:val="0005672C"/>
    <w:rsid w:val="00076F44"/>
    <w:rsid w:val="00085476"/>
    <w:rsid w:val="00096FD1"/>
    <w:rsid w:val="000A396F"/>
    <w:rsid w:val="000A407D"/>
    <w:rsid w:val="000B282C"/>
    <w:rsid w:val="000E54D6"/>
    <w:rsid w:val="000F4991"/>
    <w:rsid w:val="000F6C31"/>
    <w:rsid w:val="00102618"/>
    <w:rsid w:val="00152852"/>
    <w:rsid w:val="0015345A"/>
    <w:rsid w:val="001574C4"/>
    <w:rsid w:val="00165AAF"/>
    <w:rsid w:val="00165DBF"/>
    <w:rsid w:val="001840DB"/>
    <w:rsid w:val="00184239"/>
    <w:rsid w:val="001857A3"/>
    <w:rsid w:val="001962E7"/>
    <w:rsid w:val="001A3DD9"/>
    <w:rsid w:val="001B0ABA"/>
    <w:rsid w:val="001C07E6"/>
    <w:rsid w:val="001C29A1"/>
    <w:rsid w:val="001C43B1"/>
    <w:rsid w:val="001C51C9"/>
    <w:rsid w:val="001C6A70"/>
    <w:rsid w:val="001F4164"/>
    <w:rsid w:val="002122EC"/>
    <w:rsid w:val="00230EBD"/>
    <w:rsid w:val="00232295"/>
    <w:rsid w:val="00247DB3"/>
    <w:rsid w:val="00252433"/>
    <w:rsid w:val="002604CC"/>
    <w:rsid w:val="0027374B"/>
    <w:rsid w:val="00284BA9"/>
    <w:rsid w:val="00294411"/>
    <w:rsid w:val="002B11C7"/>
    <w:rsid w:val="002F2CD0"/>
    <w:rsid w:val="002F78E9"/>
    <w:rsid w:val="00330521"/>
    <w:rsid w:val="003457C7"/>
    <w:rsid w:val="0035780C"/>
    <w:rsid w:val="003609BB"/>
    <w:rsid w:val="00364D46"/>
    <w:rsid w:val="003776CD"/>
    <w:rsid w:val="003864DD"/>
    <w:rsid w:val="003B0554"/>
    <w:rsid w:val="003D26BE"/>
    <w:rsid w:val="003D6C17"/>
    <w:rsid w:val="003D77D9"/>
    <w:rsid w:val="003E7EF9"/>
    <w:rsid w:val="00410BD1"/>
    <w:rsid w:val="00416C3B"/>
    <w:rsid w:val="004700F7"/>
    <w:rsid w:val="00486A42"/>
    <w:rsid w:val="004F156C"/>
    <w:rsid w:val="004F38AE"/>
    <w:rsid w:val="005749E7"/>
    <w:rsid w:val="005775C7"/>
    <w:rsid w:val="005B55D1"/>
    <w:rsid w:val="005E5BD4"/>
    <w:rsid w:val="005F34DA"/>
    <w:rsid w:val="00601B5B"/>
    <w:rsid w:val="00636A76"/>
    <w:rsid w:val="00642723"/>
    <w:rsid w:val="00680A33"/>
    <w:rsid w:val="00687929"/>
    <w:rsid w:val="006C6043"/>
    <w:rsid w:val="00705375"/>
    <w:rsid w:val="00710D91"/>
    <w:rsid w:val="00735EB6"/>
    <w:rsid w:val="00746550"/>
    <w:rsid w:val="007504AC"/>
    <w:rsid w:val="00753A44"/>
    <w:rsid w:val="00776475"/>
    <w:rsid w:val="00787A41"/>
    <w:rsid w:val="007945B9"/>
    <w:rsid w:val="00794770"/>
    <w:rsid w:val="007A0358"/>
    <w:rsid w:val="007A52E5"/>
    <w:rsid w:val="007A5EB0"/>
    <w:rsid w:val="007B44E0"/>
    <w:rsid w:val="007C2B09"/>
    <w:rsid w:val="007D1E92"/>
    <w:rsid w:val="007D47F5"/>
    <w:rsid w:val="007D50C1"/>
    <w:rsid w:val="008278B8"/>
    <w:rsid w:val="00831977"/>
    <w:rsid w:val="00856455"/>
    <w:rsid w:val="0086422C"/>
    <w:rsid w:val="008867F8"/>
    <w:rsid w:val="008C2483"/>
    <w:rsid w:val="008E4ED6"/>
    <w:rsid w:val="008E50EE"/>
    <w:rsid w:val="008F4CCB"/>
    <w:rsid w:val="008F66F9"/>
    <w:rsid w:val="0090103D"/>
    <w:rsid w:val="0091649B"/>
    <w:rsid w:val="00946DC4"/>
    <w:rsid w:val="00976558"/>
    <w:rsid w:val="00976717"/>
    <w:rsid w:val="009C5C1D"/>
    <w:rsid w:val="009D524E"/>
    <w:rsid w:val="00A015B3"/>
    <w:rsid w:val="00A05ED4"/>
    <w:rsid w:val="00A41E3F"/>
    <w:rsid w:val="00A543AB"/>
    <w:rsid w:val="00AA690F"/>
    <w:rsid w:val="00B37174"/>
    <w:rsid w:val="00B53E95"/>
    <w:rsid w:val="00B646F9"/>
    <w:rsid w:val="00B8031E"/>
    <w:rsid w:val="00B85FE7"/>
    <w:rsid w:val="00BA0AFE"/>
    <w:rsid w:val="00BA2FD6"/>
    <w:rsid w:val="00BA4A2A"/>
    <w:rsid w:val="00BB776D"/>
    <w:rsid w:val="00BC005F"/>
    <w:rsid w:val="00BD2463"/>
    <w:rsid w:val="00BD3561"/>
    <w:rsid w:val="00C4350B"/>
    <w:rsid w:val="00C54362"/>
    <w:rsid w:val="00C769F9"/>
    <w:rsid w:val="00CA5060"/>
    <w:rsid w:val="00CE6934"/>
    <w:rsid w:val="00D2128D"/>
    <w:rsid w:val="00D32E18"/>
    <w:rsid w:val="00D911BA"/>
    <w:rsid w:val="00D9736E"/>
    <w:rsid w:val="00DA4BE8"/>
    <w:rsid w:val="00DD4778"/>
    <w:rsid w:val="00DE1B83"/>
    <w:rsid w:val="00E01096"/>
    <w:rsid w:val="00E233A1"/>
    <w:rsid w:val="00E53D19"/>
    <w:rsid w:val="00E6758C"/>
    <w:rsid w:val="00E67EE7"/>
    <w:rsid w:val="00E82BFB"/>
    <w:rsid w:val="00EA31D8"/>
    <w:rsid w:val="00EB1546"/>
    <w:rsid w:val="00EB40F2"/>
    <w:rsid w:val="00EC02BA"/>
    <w:rsid w:val="00EF0F7B"/>
    <w:rsid w:val="00EF605F"/>
    <w:rsid w:val="00F30570"/>
    <w:rsid w:val="00F31B57"/>
    <w:rsid w:val="00F54948"/>
    <w:rsid w:val="00F77E73"/>
    <w:rsid w:val="00F848B5"/>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5F34DA"/>
    <w:pPr>
      <w:ind w:left="720"/>
      <w:contextualSpacing/>
    </w:pPr>
  </w:style>
  <w:style w:type="table" w:styleId="TableGrid">
    <w:name w:val="Table Grid"/>
    <w:basedOn w:val="TableNormal"/>
    <w:uiPriority w:val="39"/>
    <w:rsid w:val="00A543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2022-01-22T15:31:00Z</dcterms:created>
  <dcterms:modified xsi:type="dcterms:W3CDTF">2022-01-22T15:31:00Z</dcterms:modified>
</cp:coreProperties>
</file>